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F59" w:rsidRDefault="00D07134" w:rsidP="009913B7">
      <w:pPr>
        <w:spacing w:after="0"/>
        <w:jc w:val="center"/>
        <w:rPr>
          <w:b/>
          <w:sz w:val="26"/>
          <w:lang w:val="en-GB"/>
        </w:rPr>
      </w:pPr>
      <w:r>
        <w:rPr>
          <w:b/>
          <w:noProof/>
          <w:sz w:val="26"/>
          <w:lang w:eastAsia="el-GR"/>
        </w:rPr>
        <w:drawing>
          <wp:inline distT="0" distB="0" distL="0" distR="0" wp14:anchorId="6EE3DF94" wp14:editId="37052FB2">
            <wp:extent cx="1390680" cy="1332000"/>
            <wp:effectExtent l="0" t="0" r="0" b="1905"/>
            <wp:docPr id="1" name="Picture 1" descr="\\okeanos\hci\Projects\COMnPLAY\LazySnail\logo_by_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eanos\hci\Projects\COMnPLAY\LazySnail\logo_by_d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80" cy="1332000"/>
                    </a:xfrm>
                    <a:prstGeom prst="rect">
                      <a:avLst/>
                    </a:prstGeom>
                    <a:noFill/>
                    <a:ln>
                      <a:noFill/>
                    </a:ln>
                  </pic:spPr>
                </pic:pic>
              </a:graphicData>
            </a:graphic>
          </wp:inline>
        </w:drawing>
      </w:r>
    </w:p>
    <w:p w:rsidR="00D07134" w:rsidRPr="00252F89" w:rsidRDefault="00D07134" w:rsidP="00D07134">
      <w:pPr>
        <w:pStyle w:val="NoSpacing"/>
        <w:rPr>
          <w:lang w:val="en-GB"/>
        </w:rPr>
      </w:pPr>
    </w:p>
    <w:p w:rsidR="00E64F59" w:rsidRPr="007F5BCA" w:rsidRDefault="00905EDC" w:rsidP="008B09BD">
      <w:pPr>
        <w:jc w:val="center"/>
        <w:rPr>
          <w:b/>
          <w:i/>
          <w:sz w:val="32"/>
          <w:lang w:val="en-GB"/>
        </w:rPr>
      </w:pPr>
      <w:r w:rsidRPr="00796B67">
        <w:rPr>
          <w:b/>
          <w:sz w:val="32"/>
          <w:lang w:val="en-GB"/>
        </w:rPr>
        <w:t xml:space="preserve">The </w:t>
      </w:r>
      <w:r w:rsidR="009B0C34" w:rsidRPr="00796B67">
        <w:rPr>
          <w:b/>
          <w:sz w:val="32"/>
          <w:lang w:val="en-GB"/>
        </w:rPr>
        <w:t>COM</w:t>
      </w:r>
      <w:r w:rsidR="00E64F59" w:rsidRPr="00796B67">
        <w:rPr>
          <w:b/>
          <w:sz w:val="32"/>
          <w:lang w:val="en-GB"/>
        </w:rPr>
        <w:t>n</w:t>
      </w:r>
      <w:r w:rsidR="009B0C34" w:rsidRPr="00796B67">
        <w:rPr>
          <w:b/>
          <w:sz w:val="32"/>
          <w:lang w:val="en-GB"/>
        </w:rPr>
        <w:t>PLAY</w:t>
      </w:r>
      <w:r w:rsidR="00E64F59" w:rsidRPr="00796B67">
        <w:rPr>
          <w:b/>
          <w:sz w:val="32"/>
          <w:lang w:val="en-GB"/>
        </w:rPr>
        <w:t xml:space="preserve"> </w:t>
      </w:r>
      <w:r w:rsidR="009B0C34" w:rsidRPr="00796B67">
        <w:rPr>
          <w:b/>
          <w:sz w:val="32"/>
          <w:lang w:val="en-GB"/>
        </w:rPr>
        <w:t>SCIENCE</w:t>
      </w:r>
      <w:r w:rsidR="00046E30" w:rsidRPr="00796B67">
        <w:rPr>
          <w:b/>
          <w:sz w:val="32"/>
          <w:lang w:val="en-GB"/>
        </w:rPr>
        <w:t xml:space="preserve"> Project</w:t>
      </w:r>
      <w:r w:rsidR="00E64F59" w:rsidRPr="00796B67">
        <w:rPr>
          <w:b/>
          <w:sz w:val="32"/>
          <w:lang w:val="en-GB"/>
        </w:rPr>
        <w:t xml:space="preserve">: </w:t>
      </w:r>
      <w:r w:rsidR="00014D16" w:rsidRPr="00796B67">
        <w:rPr>
          <w:b/>
          <w:sz w:val="32"/>
          <w:lang w:val="en-GB"/>
        </w:rPr>
        <w:br/>
      </w:r>
      <w:r w:rsidR="00E64F59" w:rsidRPr="007F5BCA">
        <w:rPr>
          <w:b/>
          <w:i/>
          <w:sz w:val="32"/>
          <w:lang w:val="en-GB"/>
        </w:rPr>
        <w:t>Learning science the fun and creative way!</w:t>
      </w:r>
    </w:p>
    <w:p w:rsidR="00383396" w:rsidRPr="00252F89" w:rsidRDefault="00AC0449" w:rsidP="00383396">
      <w:pPr>
        <w:jc w:val="both"/>
        <w:rPr>
          <w:lang w:val="en-GB"/>
        </w:rPr>
      </w:pPr>
      <w:r w:rsidRPr="00AC0449">
        <w:rPr>
          <w:lang w:val="en-GB"/>
        </w:rPr>
        <w:t>Teaching coding is currently gaining momentum across the world to help young people develop technological fluency and deeper understanding of how the digital world is created, how it might be used to meet our needs, how we might repair or modify it.</w:t>
      </w:r>
      <w:r w:rsidR="00383396" w:rsidRPr="00252F89">
        <w:rPr>
          <w:lang w:val="en-GB"/>
        </w:rPr>
        <w:t xml:space="preserve"> At the same time,</w:t>
      </w:r>
      <w:r w:rsidRPr="00AC0449">
        <w:rPr>
          <w:lang w:val="en-GB"/>
        </w:rPr>
        <w:t xml:space="preserve"> </w:t>
      </w:r>
      <w:r>
        <w:rPr>
          <w:lang w:val="en-GB"/>
        </w:rPr>
        <w:t xml:space="preserve">the </w:t>
      </w:r>
      <w:r w:rsidRPr="00AC0449">
        <w:rPr>
          <w:lang w:val="en-GB"/>
        </w:rPr>
        <w:t>maker movement of independent innovators, designers and tinkerers has dynamically entered the landscape of innovative education</w:t>
      </w:r>
      <w:r w:rsidR="00CB146F">
        <w:rPr>
          <w:lang w:val="en-GB"/>
        </w:rPr>
        <w:t>, non-formal</w:t>
      </w:r>
      <w:r w:rsidRPr="00AC0449">
        <w:rPr>
          <w:lang w:val="en-GB"/>
        </w:rPr>
        <w:t xml:space="preserve"> and informal learning, offering an unprecedented opportunity for educators to advance a progressive educational agenda.</w:t>
      </w:r>
      <w:r w:rsidR="00383396" w:rsidRPr="00252F89">
        <w:rPr>
          <w:lang w:val="en-GB"/>
        </w:rPr>
        <w:t xml:space="preserve"> Across the spectrum of these emerging creative learning activities, the elements of fun and playfulness are dominant harnessing children’s sense of joy, wonder and natural curiosity, achieving high levels of engagement and learner’s personal investment in learning. The links and contributions of these creative learning approaches and activities to science education are strong and obvious, albeit still only little explored and understood in depth.</w:t>
      </w:r>
    </w:p>
    <w:p w:rsidR="00383396" w:rsidRPr="00DA72D9" w:rsidRDefault="00383396" w:rsidP="00383396">
      <w:pPr>
        <w:jc w:val="both"/>
        <w:rPr>
          <w:highlight w:val="yellow"/>
          <w:lang w:val="en-GB"/>
        </w:rPr>
      </w:pPr>
      <w:r w:rsidRPr="00252F89">
        <w:rPr>
          <w:lang w:val="en-GB"/>
        </w:rPr>
        <w:t xml:space="preserve">The </w:t>
      </w:r>
      <w:r w:rsidRPr="00600485">
        <w:rPr>
          <w:lang w:val="en-GB"/>
        </w:rPr>
        <w:t xml:space="preserve">COMnPLAY SCIENCE </w:t>
      </w:r>
      <w:r w:rsidRPr="00252F89">
        <w:rPr>
          <w:lang w:val="en-GB"/>
        </w:rPr>
        <w:t xml:space="preserve">project aims to help Europe better understand the new ways in which </w:t>
      </w:r>
      <w:r w:rsidR="00CB146F">
        <w:rPr>
          <w:lang w:val="en-GB"/>
        </w:rPr>
        <w:t>non-formal</w:t>
      </w:r>
      <w:r w:rsidR="00CB146F" w:rsidRPr="00AC0449">
        <w:rPr>
          <w:lang w:val="en-GB"/>
        </w:rPr>
        <w:t xml:space="preserve"> and </w:t>
      </w:r>
      <w:r w:rsidRPr="00252F89">
        <w:rPr>
          <w:lang w:val="en-GB"/>
        </w:rPr>
        <w:t>informal science learning is taking place through various coding, making, and play activities that young Europeans (children, adolescents and young adults) are nowadays increasingly engaged with</w:t>
      </w:r>
      <w:r>
        <w:rPr>
          <w:lang w:val="en-GB"/>
        </w:rPr>
        <w:t>,</w:t>
      </w:r>
      <w:r w:rsidRPr="00252F89">
        <w:rPr>
          <w:lang w:val="en-GB"/>
        </w:rPr>
        <w:t xml:space="preserve"> outside school and higher education science classrooms, beyond the formal boundaries of science education.</w:t>
      </w:r>
    </w:p>
    <w:p w:rsidR="00383396" w:rsidRPr="00252F89" w:rsidRDefault="00383396" w:rsidP="00383396">
      <w:pPr>
        <w:spacing w:after="80"/>
        <w:jc w:val="both"/>
        <w:rPr>
          <w:lang w:val="en-GB"/>
        </w:rPr>
      </w:pPr>
      <w:r w:rsidRPr="00252F89">
        <w:rPr>
          <w:lang w:val="en-GB"/>
        </w:rPr>
        <w:t xml:space="preserve">Carefully positioning the research within the context of the overarching contemporary discourses on Science, Technology, Engineering, (Arts) and Mathematics (STEM/STEAM) education, Responsible Research and Innovation (RRI), and science capital, the project’s </w:t>
      </w:r>
      <w:r>
        <w:rPr>
          <w:lang w:val="en-GB"/>
        </w:rPr>
        <w:t>main</w:t>
      </w:r>
      <w:r w:rsidRPr="00252F89">
        <w:rPr>
          <w:lang w:val="en-GB"/>
        </w:rPr>
        <w:t xml:space="preserve"> objectives are to:</w:t>
      </w:r>
    </w:p>
    <w:p w:rsidR="00383396" w:rsidRDefault="00383396" w:rsidP="00A405B7">
      <w:pPr>
        <w:pStyle w:val="ListParagraph"/>
        <w:numPr>
          <w:ilvl w:val="0"/>
          <w:numId w:val="7"/>
        </w:numPr>
        <w:spacing w:after="120"/>
        <w:ind w:left="425" w:hanging="425"/>
        <w:contextualSpacing w:val="0"/>
        <w:jc w:val="both"/>
        <w:rPr>
          <w:lang w:val="en-GB"/>
        </w:rPr>
      </w:pPr>
      <w:r w:rsidRPr="00252F89">
        <w:rPr>
          <w:lang w:val="en-GB"/>
        </w:rPr>
        <w:t>Develop an appropriate conceptual and methodological framework integrating all aspects of the project into a unifying conceptual map.</w:t>
      </w:r>
    </w:p>
    <w:p w:rsidR="00383396" w:rsidRPr="005C4D15" w:rsidRDefault="00383396" w:rsidP="00A405B7">
      <w:pPr>
        <w:pStyle w:val="ListParagraph"/>
        <w:numPr>
          <w:ilvl w:val="0"/>
          <w:numId w:val="7"/>
        </w:numPr>
        <w:spacing w:after="120"/>
        <w:ind w:left="425" w:hanging="425"/>
        <w:contextualSpacing w:val="0"/>
        <w:jc w:val="both"/>
        <w:rPr>
          <w:lang w:val="en-GB"/>
        </w:rPr>
      </w:pPr>
      <w:r>
        <w:rPr>
          <w:lang w:val="en-GB"/>
        </w:rPr>
        <w:t>Setup a</w:t>
      </w:r>
      <w:r w:rsidRPr="007D4278">
        <w:rPr>
          <w:lang w:val="en-GB"/>
        </w:rPr>
        <w:t xml:space="preserve"> </w:t>
      </w:r>
      <w:r>
        <w:rPr>
          <w:lang w:val="en-GB"/>
        </w:rPr>
        <w:t xml:space="preserve">European-wide </w:t>
      </w:r>
      <w:r w:rsidRPr="007D4278">
        <w:rPr>
          <w:lang w:val="en-GB"/>
        </w:rPr>
        <w:t>community of stakeholders, including learners, educators, facilitators and policy makers from divers</w:t>
      </w:r>
      <w:r>
        <w:rPr>
          <w:lang w:val="en-GB"/>
        </w:rPr>
        <w:t>e fields</w:t>
      </w:r>
      <w:r w:rsidRPr="005C4D15">
        <w:rPr>
          <w:lang w:val="en-GB"/>
        </w:rPr>
        <w:t xml:space="preserve">, to contribute, guide and </w:t>
      </w:r>
      <w:r>
        <w:rPr>
          <w:lang w:val="en-GB"/>
        </w:rPr>
        <w:t xml:space="preserve">help </w:t>
      </w:r>
      <w:r w:rsidRPr="005C4D15">
        <w:rPr>
          <w:lang w:val="en-GB"/>
        </w:rPr>
        <w:t>assess</w:t>
      </w:r>
      <w:r>
        <w:rPr>
          <w:lang w:val="en-GB"/>
        </w:rPr>
        <w:t>ing</w:t>
      </w:r>
      <w:r w:rsidRPr="005C4D15">
        <w:rPr>
          <w:lang w:val="en-GB"/>
        </w:rPr>
        <w:t xml:space="preserve"> the conducted research.</w:t>
      </w:r>
    </w:p>
    <w:p w:rsidR="00383396" w:rsidRPr="00252F89" w:rsidRDefault="00383396" w:rsidP="00A405B7">
      <w:pPr>
        <w:pStyle w:val="ListParagraph"/>
        <w:numPr>
          <w:ilvl w:val="0"/>
          <w:numId w:val="7"/>
        </w:numPr>
        <w:spacing w:after="120"/>
        <w:ind w:left="425" w:hanging="425"/>
        <w:contextualSpacing w:val="0"/>
        <w:jc w:val="both"/>
        <w:rPr>
          <w:lang w:val="en-GB"/>
        </w:rPr>
      </w:pPr>
      <w:r w:rsidRPr="00252F89">
        <w:rPr>
          <w:lang w:val="en-GB"/>
        </w:rPr>
        <w:t xml:space="preserve">Identify, pool and analyse diverse existing coding, making and play-based practices taking place outside formal science classrooms which bear some promise for </w:t>
      </w:r>
      <w:r w:rsidR="00CB146F">
        <w:rPr>
          <w:lang w:val="en-GB"/>
        </w:rPr>
        <w:t>non-formal</w:t>
      </w:r>
      <w:r w:rsidR="00CB146F" w:rsidRPr="00AC0449">
        <w:rPr>
          <w:lang w:val="en-GB"/>
        </w:rPr>
        <w:t xml:space="preserve"> and </w:t>
      </w:r>
      <w:r w:rsidRPr="00252F89">
        <w:rPr>
          <w:lang w:val="en-GB"/>
        </w:rPr>
        <w:t>informal science learning.</w:t>
      </w:r>
    </w:p>
    <w:p w:rsidR="00383396" w:rsidRPr="00252F89" w:rsidRDefault="00383396" w:rsidP="00A405B7">
      <w:pPr>
        <w:pStyle w:val="ListParagraph"/>
        <w:numPr>
          <w:ilvl w:val="0"/>
          <w:numId w:val="7"/>
        </w:numPr>
        <w:spacing w:after="120"/>
        <w:ind w:left="425" w:hanging="425"/>
        <w:contextualSpacing w:val="0"/>
        <w:jc w:val="both"/>
        <w:rPr>
          <w:lang w:val="en-GB"/>
        </w:rPr>
      </w:pPr>
      <w:r w:rsidRPr="00252F89">
        <w:rPr>
          <w:lang w:val="en-GB"/>
        </w:rPr>
        <w:t>Conduct in-depth learner-centred participatory empirical research on selected practices.</w:t>
      </w:r>
    </w:p>
    <w:p w:rsidR="00383396" w:rsidRPr="00252F89" w:rsidRDefault="00383396" w:rsidP="00A405B7">
      <w:pPr>
        <w:pStyle w:val="ListParagraph"/>
        <w:numPr>
          <w:ilvl w:val="0"/>
          <w:numId w:val="7"/>
        </w:numPr>
        <w:spacing w:after="120"/>
        <w:ind w:left="425" w:hanging="425"/>
        <w:contextualSpacing w:val="0"/>
        <w:jc w:val="both"/>
        <w:rPr>
          <w:lang w:val="en-GB"/>
        </w:rPr>
      </w:pPr>
      <w:r w:rsidRPr="00252F89">
        <w:rPr>
          <w:lang w:val="en-GB"/>
        </w:rPr>
        <w:t xml:space="preserve">Gain a deep understanding of the impact that this kind of </w:t>
      </w:r>
      <w:r w:rsidR="00CB146F">
        <w:rPr>
          <w:lang w:val="en-GB"/>
        </w:rPr>
        <w:t>non-formal</w:t>
      </w:r>
      <w:r w:rsidR="00CB146F" w:rsidRPr="00AC0449">
        <w:rPr>
          <w:lang w:val="en-GB"/>
        </w:rPr>
        <w:t xml:space="preserve"> and </w:t>
      </w:r>
      <w:r w:rsidRPr="00252F89">
        <w:rPr>
          <w:lang w:val="en-GB"/>
        </w:rPr>
        <w:t>informal science learning has on formal science education</w:t>
      </w:r>
      <w:r>
        <w:rPr>
          <w:lang w:val="en-GB"/>
        </w:rPr>
        <w:t>,</w:t>
      </w:r>
      <w:r w:rsidRPr="00252F89">
        <w:rPr>
          <w:lang w:val="en-GB"/>
        </w:rPr>
        <w:t xml:space="preserve"> traditional informal science learning interventions</w:t>
      </w:r>
      <w:r>
        <w:rPr>
          <w:lang w:val="en-GB"/>
        </w:rPr>
        <w:t xml:space="preserve">, </w:t>
      </w:r>
      <w:r w:rsidRPr="00252F89">
        <w:rPr>
          <w:lang w:val="en-GB"/>
        </w:rPr>
        <w:t>young people as learners and citizens</w:t>
      </w:r>
      <w:r>
        <w:rPr>
          <w:lang w:val="en-GB"/>
        </w:rPr>
        <w:t>,</w:t>
      </w:r>
      <w:r w:rsidRPr="00252F89">
        <w:rPr>
          <w:lang w:val="en-GB"/>
        </w:rPr>
        <w:t xml:space="preserve"> </w:t>
      </w:r>
      <w:r>
        <w:rPr>
          <w:lang w:val="en-GB"/>
        </w:rPr>
        <w:t xml:space="preserve">as well as, </w:t>
      </w:r>
      <w:r w:rsidRPr="00252F89">
        <w:rPr>
          <w:lang w:val="en-GB"/>
        </w:rPr>
        <w:t>on society.</w:t>
      </w:r>
    </w:p>
    <w:p w:rsidR="00A405B7" w:rsidRPr="00A405B7" w:rsidRDefault="00383396" w:rsidP="00383396">
      <w:pPr>
        <w:pStyle w:val="ListParagraph"/>
        <w:numPr>
          <w:ilvl w:val="0"/>
          <w:numId w:val="7"/>
        </w:numPr>
        <w:spacing w:after="120"/>
        <w:ind w:left="425" w:hanging="425"/>
        <w:contextualSpacing w:val="0"/>
        <w:jc w:val="both"/>
        <w:rPr>
          <w:lang w:val="en-GB"/>
        </w:rPr>
      </w:pPr>
      <w:r w:rsidRPr="00A405B7">
        <w:rPr>
          <w:lang w:val="en-GB"/>
        </w:rPr>
        <w:t>Communicate and disseminate the messages and outcomes of the project widely, and enable the exploitation of the findings of the research through the development of relevant guidance for practitioners and recommendations for policy development and further research.</w:t>
      </w:r>
      <w:r w:rsidR="00A405B7" w:rsidRPr="00A405B7">
        <w:rPr>
          <w:lang w:val="en-GB"/>
        </w:rPr>
        <w:br/>
      </w:r>
    </w:p>
    <w:p w:rsidR="00383396" w:rsidRDefault="00A405B7" w:rsidP="00A405B7">
      <w:pPr>
        <w:rPr>
          <w:lang w:val="en-GB"/>
        </w:rPr>
      </w:pPr>
      <w:r>
        <w:rPr>
          <w:lang w:val="en-GB"/>
        </w:rPr>
        <w:br w:type="page"/>
      </w:r>
      <w:r w:rsidR="00383396">
        <w:rPr>
          <w:lang w:val="en-GB"/>
        </w:rPr>
        <w:lastRenderedPageBreak/>
        <w:t>The main results stemming from the project include:</w:t>
      </w:r>
    </w:p>
    <w:p w:rsidR="00383396" w:rsidRDefault="00383396" w:rsidP="00383396">
      <w:pPr>
        <w:pStyle w:val="ListParagraph"/>
        <w:numPr>
          <w:ilvl w:val="0"/>
          <w:numId w:val="8"/>
        </w:numPr>
        <w:jc w:val="both"/>
        <w:rPr>
          <w:lang w:val="en-GB"/>
        </w:rPr>
      </w:pPr>
      <w:r>
        <w:rPr>
          <w:lang w:val="en-GB"/>
        </w:rPr>
        <w:t xml:space="preserve">An </w:t>
      </w:r>
      <w:r w:rsidRPr="000F2E8A">
        <w:rPr>
          <w:lang w:val="en-GB"/>
        </w:rPr>
        <w:t xml:space="preserve">online inventory </w:t>
      </w:r>
      <w:r>
        <w:rPr>
          <w:lang w:val="en-GB"/>
        </w:rPr>
        <w:t xml:space="preserve">of </w:t>
      </w:r>
      <w:r w:rsidRPr="000F2E8A">
        <w:rPr>
          <w:lang w:val="en-GB"/>
        </w:rPr>
        <w:t xml:space="preserve">all </w:t>
      </w:r>
      <w:r>
        <w:rPr>
          <w:lang w:val="en-GB"/>
        </w:rPr>
        <w:t xml:space="preserve">the identified and pooled practices, </w:t>
      </w:r>
      <w:r w:rsidRPr="000F2E8A">
        <w:rPr>
          <w:lang w:val="en-GB"/>
        </w:rPr>
        <w:t>appropriately categorized and annotated in the light of the findings of the research</w:t>
      </w:r>
      <w:r>
        <w:rPr>
          <w:lang w:val="en-GB"/>
        </w:rPr>
        <w:t xml:space="preserve">, </w:t>
      </w:r>
      <w:r w:rsidRPr="00F22F06">
        <w:rPr>
          <w:lang w:val="en-GB"/>
        </w:rPr>
        <w:t xml:space="preserve">available to </w:t>
      </w:r>
      <w:bookmarkStart w:id="0" w:name="_GoBack"/>
      <w:r w:rsidRPr="00F22F06">
        <w:rPr>
          <w:lang w:val="en-GB"/>
        </w:rPr>
        <w:t>stakeholders and the public</w:t>
      </w:r>
      <w:r>
        <w:rPr>
          <w:lang w:val="en-GB"/>
        </w:rPr>
        <w:t>.</w:t>
      </w:r>
    </w:p>
    <w:p w:rsidR="00383396" w:rsidRDefault="00383396" w:rsidP="00383396">
      <w:pPr>
        <w:pStyle w:val="ListParagraph"/>
        <w:numPr>
          <w:ilvl w:val="0"/>
          <w:numId w:val="8"/>
        </w:numPr>
        <w:jc w:val="both"/>
        <w:rPr>
          <w:lang w:val="en-GB"/>
        </w:rPr>
      </w:pPr>
      <w:r>
        <w:rPr>
          <w:lang w:val="en-GB"/>
        </w:rPr>
        <w:t xml:space="preserve">A set of </w:t>
      </w:r>
      <w:r w:rsidRPr="00F22F06">
        <w:rPr>
          <w:lang w:val="en-GB"/>
        </w:rPr>
        <w:t>community building methods and tools for everyone wishing t</w:t>
      </w:r>
      <w:bookmarkEnd w:id="0"/>
      <w:r w:rsidRPr="00F22F06">
        <w:rPr>
          <w:lang w:val="en-GB"/>
        </w:rPr>
        <w:t>o get involved in community</w:t>
      </w:r>
      <w:r>
        <w:rPr>
          <w:lang w:val="en-GB"/>
        </w:rPr>
        <w:t xml:space="preserve"> building linked to the project</w:t>
      </w:r>
      <w:r w:rsidRPr="00F22F06">
        <w:rPr>
          <w:lang w:val="en-GB"/>
        </w:rPr>
        <w:t>.</w:t>
      </w:r>
    </w:p>
    <w:p w:rsidR="00383396" w:rsidRDefault="00383396" w:rsidP="00383396">
      <w:pPr>
        <w:pStyle w:val="ListParagraph"/>
        <w:numPr>
          <w:ilvl w:val="0"/>
          <w:numId w:val="8"/>
        </w:numPr>
        <w:jc w:val="both"/>
        <w:rPr>
          <w:lang w:val="en-GB"/>
        </w:rPr>
      </w:pPr>
      <w:r>
        <w:rPr>
          <w:lang w:val="en-GB"/>
        </w:rPr>
        <w:t xml:space="preserve">A Web-based </w:t>
      </w:r>
      <w:r w:rsidRPr="00F22F06">
        <w:rPr>
          <w:lang w:val="en-GB"/>
        </w:rPr>
        <w:t>game</w:t>
      </w:r>
      <w:r>
        <w:rPr>
          <w:lang w:val="en-GB"/>
        </w:rPr>
        <w:t xml:space="preserve"> promoting </w:t>
      </w:r>
      <w:r w:rsidRPr="00F22F06">
        <w:rPr>
          <w:lang w:val="en-GB"/>
        </w:rPr>
        <w:t>and support</w:t>
      </w:r>
      <w:r>
        <w:rPr>
          <w:lang w:val="en-GB"/>
        </w:rPr>
        <w:t>ing</w:t>
      </w:r>
      <w:r w:rsidRPr="00F22F06">
        <w:rPr>
          <w:lang w:val="en-GB"/>
        </w:rPr>
        <w:t xml:space="preserve"> the continuous prolonged engagement of learners and their facilitators in the field research</w:t>
      </w:r>
      <w:r>
        <w:rPr>
          <w:lang w:val="en-GB"/>
        </w:rPr>
        <w:t>.</w:t>
      </w:r>
    </w:p>
    <w:p w:rsidR="00383396" w:rsidRDefault="00383396" w:rsidP="00383396">
      <w:pPr>
        <w:pStyle w:val="ListParagraph"/>
        <w:numPr>
          <w:ilvl w:val="0"/>
          <w:numId w:val="8"/>
        </w:numPr>
        <w:jc w:val="both"/>
        <w:rPr>
          <w:lang w:val="en-GB"/>
        </w:rPr>
      </w:pPr>
      <w:r>
        <w:rPr>
          <w:lang w:val="en-GB"/>
        </w:rPr>
        <w:t>T</w:t>
      </w:r>
      <w:r w:rsidRPr="00F278D5">
        <w:rPr>
          <w:lang w:val="en-GB"/>
        </w:rPr>
        <w:t xml:space="preserve">he </w:t>
      </w:r>
      <w:r w:rsidRPr="004A26B8">
        <w:rPr>
          <w:i/>
          <w:lang w:val="en-GB"/>
        </w:rPr>
        <w:t>COMnPLAY-Science Knowledge Kit</w:t>
      </w:r>
      <w:r w:rsidRPr="00F278D5">
        <w:rPr>
          <w:lang w:val="en-GB"/>
        </w:rPr>
        <w:t xml:space="preserve">, </w:t>
      </w:r>
      <w:r>
        <w:rPr>
          <w:lang w:val="en-GB"/>
        </w:rPr>
        <w:t>a</w:t>
      </w:r>
      <w:r w:rsidRPr="00F278D5">
        <w:rPr>
          <w:lang w:val="en-GB"/>
        </w:rPr>
        <w:t xml:space="preserve"> modular set of reader-friendly, practice-oriented publications, </w:t>
      </w:r>
      <w:r>
        <w:rPr>
          <w:lang w:val="en-GB"/>
        </w:rPr>
        <w:t>encapsulating</w:t>
      </w:r>
      <w:r w:rsidRPr="00F278D5">
        <w:rPr>
          <w:lang w:val="en-GB"/>
        </w:rPr>
        <w:t xml:space="preserve"> the findings of the project</w:t>
      </w:r>
      <w:r>
        <w:rPr>
          <w:lang w:val="en-GB"/>
        </w:rPr>
        <w:t>.</w:t>
      </w:r>
    </w:p>
    <w:p w:rsidR="00383396" w:rsidRPr="00546BFB" w:rsidRDefault="00383396" w:rsidP="00383396">
      <w:pPr>
        <w:pStyle w:val="ListParagraph"/>
        <w:numPr>
          <w:ilvl w:val="0"/>
          <w:numId w:val="8"/>
        </w:numPr>
        <w:jc w:val="both"/>
        <w:rPr>
          <w:lang w:val="en-GB"/>
        </w:rPr>
      </w:pPr>
      <w:r w:rsidRPr="00546BFB">
        <w:rPr>
          <w:lang w:val="en-GB"/>
        </w:rPr>
        <w:t xml:space="preserve">The </w:t>
      </w:r>
      <w:r w:rsidRPr="004A26B8">
        <w:rPr>
          <w:i/>
          <w:lang w:val="en-GB"/>
        </w:rPr>
        <w:t>COMnPLAY-Science Roadmap for Europe</w:t>
      </w:r>
      <w:r w:rsidRPr="00546BFB">
        <w:rPr>
          <w:lang w:val="en-GB"/>
        </w:rPr>
        <w:t>, a detailed concerted account by the consortium, the stakeholder communities and policy makers of the potential for short-, medium- and long term</w:t>
      </w:r>
      <w:r>
        <w:rPr>
          <w:lang w:val="en-GB"/>
        </w:rPr>
        <w:t xml:space="preserve"> </w:t>
      </w:r>
      <w:r w:rsidRPr="00546BFB">
        <w:rPr>
          <w:lang w:val="en-GB"/>
        </w:rPr>
        <w:t>impact</w:t>
      </w:r>
      <w:r>
        <w:rPr>
          <w:lang w:val="en-GB"/>
        </w:rPr>
        <w:t xml:space="preserve"> </w:t>
      </w:r>
      <w:r w:rsidRPr="004A26B8">
        <w:rPr>
          <w:lang w:val="en-GB"/>
        </w:rPr>
        <w:t xml:space="preserve">of </w:t>
      </w:r>
      <w:r w:rsidRPr="00F278D5">
        <w:rPr>
          <w:lang w:val="en-GB"/>
        </w:rPr>
        <w:t xml:space="preserve">coding, making and play-based </w:t>
      </w:r>
      <w:r w:rsidR="00CB146F">
        <w:rPr>
          <w:lang w:val="en-GB"/>
        </w:rPr>
        <w:t>non-formal</w:t>
      </w:r>
      <w:r w:rsidR="00CB146F" w:rsidRPr="00AC0449">
        <w:rPr>
          <w:lang w:val="en-GB"/>
        </w:rPr>
        <w:t xml:space="preserve"> and </w:t>
      </w:r>
      <w:r w:rsidRPr="00F278D5">
        <w:rPr>
          <w:lang w:val="en-GB"/>
        </w:rPr>
        <w:t>informal science learning.</w:t>
      </w:r>
    </w:p>
    <w:p w:rsidR="00383396" w:rsidRDefault="00383396" w:rsidP="00383396">
      <w:pPr>
        <w:pStyle w:val="ListParagraph"/>
        <w:numPr>
          <w:ilvl w:val="0"/>
          <w:numId w:val="8"/>
        </w:numPr>
        <w:jc w:val="both"/>
        <w:rPr>
          <w:lang w:val="en-GB"/>
        </w:rPr>
      </w:pPr>
      <w:r>
        <w:rPr>
          <w:lang w:val="en-GB"/>
        </w:rPr>
        <w:t xml:space="preserve">Numerous </w:t>
      </w:r>
      <w:r w:rsidRPr="000F2E8A">
        <w:rPr>
          <w:lang w:val="en-GB"/>
        </w:rPr>
        <w:t>public events</w:t>
      </w:r>
      <w:r>
        <w:rPr>
          <w:lang w:val="en-GB"/>
        </w:rPr>
        <w:t xml:space="preserve"> (</w:t>
      </w:r>
      <w:r w:rsidRPr="000F2E8A">
        <w:rPr>
          <w:lang w:val="en-GB"/>
        </w:rPr>
        <w:t>workshops, training seminars, conferences, contests, fairs</w:t>
      </w:r>
      <w:r>
        <w:rPr>
          <w:lang w:val="en-GB"/>
        </w:rPr>
        <w:t>)</w:t>
      </w:r>
      <w:r w:rsidRPr="000F2E8A">
        <w:rPr>
          <w:lang w:val="en-GB"/>
        </w:rPr>
        <w:t>, often combined with training activities (winter and summer schools)</w:t>
      </w:r>
      <w:r>
        <w:rPr>
          <w:lang w:val="en-GB"/>
        </w:rPr>
        <w:t>.</w:t>
      </w:r>
    </w:p>
    <w:p w:rsidR="00383396" w:rsidRPr="00252F89" w:rsidRDefault="00383396" w:rsidP="00383396">
      <w:pPr>
        <w:jc w:val="both"/>
        <w:rPr>
          <w:lang w:val="en-GB"/>
        </w:rPr>
      </w:pPr>
      <w:r w:rsidRPr="00252F89">
        <w:rPr>
          <w:lang w:val="en-GB"/>
        </w:rPr>
        <w:t>The project started 1</w:t>
      </w:r>
      <w:r w:rsidRPr="00720376">
        <w:rPr>
          <w:vertAlign w:val="superscript"/>
          <w:lang w:val="en-GB"/>
        </w:rPr>
        <w:t>st</w:t>
      </w:r>
      <w:r w:rsidRPr="00252F89">
        <w:rPr>
          <w:lang w:val="en-GB"/>
        </w:rPr>
        <w:t xml:space="preserve"> </w:t>
      </w:r>
      <w:r>
        <w:rPr>
          <w:lang w:val="en-GB"/>
        </w:rPr>
        <w:t xml:space="preserve">of </w:t>
      </w:r>
      <w:r w:rsidRPr="00252F89">
        <w:rPr>
          <w:lang w:val="en-GB"/>
        </w:rPr>
        <w:t>June 2018, has a 3-year duration and has received 3,1M€ funding from the European Union’s Horizon 2020 research and innovation programme.</w:t>
      </w:r>
      <w:r>
        <w:rPr>
          <w:lang w:val="en-GB"/>
        </w:rPr>
        <w:t xml:space="preserve"> </w:t>
      </w:r>
      <w:r w:rsidRPr="00252F89">
        <w:rPr>
          <w:lang w:val="en-GB"/>
        </w:rPr>
        <w:t xml:space="preserve">The consortium consists of 11 distinguished members from 10 European countries (Austria, Finland, Germany, Greece, Malta, Netherlands, Norway, Spain, Sweden, UK) bringing together the multifaceted necessary expertise required for the project, complementing each another, representing the stakeholders in the world of innovative </w:t>
      </w:r>
      <w:r w:rsidR="00CB146F">
        <w:rPr>
          <w:lang w:val="en-GB"/>
        </w:rPr>
        <w:t>non-formal</w:t>
      </w:r>
      <w:r w:rsidR="00CB146F" w:rsidRPr="00AC0449">
        <w:rPr>
          <w:lang w:val="en-GB"/>
        </w:rPr>
        <w:t xml:space="preserve"> and </w:t>
      </w:r>
      <w:r w:rsidRPr="00252F89">
        <w:rPr>
          <w:lang w:val="en-GB"/>
        </w:rPr>
        <w:t>informal science learning, and reflecting the geographical, cultural and socioeconomic diversity of Europe.</w:t>
      </w:r>
    </w:p>
    <w:p w:rsidR="009B3D74" w:rsidRPr="00846832" w:rsidRDefault="00A02A68" w:rsidP="00846832">
      <w:pPr>
        <w:spacing w:before="240" w:after="80"/>
        <w:rPr>
          <w:b/>
          <w:lang w:val="en-GB"/>
        </w:rPr>
      </w:pPr>
      <w:r w:rsidRPr="00846832">
        <w:rPr>
          <w:b/>
          <w:lang w:val="en-GB"/>
        </w:rPr>
        <w:t>Consortium</w:t>
      </w:r>
      <w:r w:rsidR="00703D70" w:rsidRPr="00846832">
        <w:rPr>
          <w:b/>
          <w:lang w:val="en-GB"/>
        </w:rPr>
        <w:t xml:space="preserve">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2768"/>
        <w:gridCol w:w="2769"/>
        <w:gridCol w:w="2769"/>
      </w:tblGrid>
      <w:tr w:rsidR="003A0D27" w:rsidRPr="003A0D27" w:rsidTr="00483E50">
        <w:trPr>
          <w:jc w:val="center"/>
        </w:trPr>
        <w:tc>
          <w:tcPr>
            <w:tcW w:w="2768" w:type="dxa"/>
            <w:vAlign w:val="bottom"/>
          </w:tcPr>
          <w:p w:rsidR="003A0D27" w:rsidRPr="003A0D27" w:rsidRDefault="006F1CBC" w:rsidP="003A0D27">
            <w:pPr>
              <w:jc w:val="center"/>
              <w:rPr>
                <w:noProof/>
                <w:sz w:val="16"/>
                <w:lang w:eastAsia="el-GR"/>
              </w:rPr>
            </w:pPr>
            <w:r>
              <w:rPr>
                <w:noProof/>
                <w:sz w:val="16"/>
                <w:lang w:eastAsia="el-GR"/>
              </w:rPr>
              <w:drawing>
                <wp:inline distT="0" distB="0" distL="0" distR="0" wp14:anchorId="0A0B9CA3">
                  <wp:extent cx="1149300" cy="21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00" cy="216000"/>
                          </a:xfrm>
                          <a:prstGeom prst="rect">
                            <a:avLst/>
                          </a:prstGeom>
                          <a:noFill/>
                        </pic:spPr>
                      </pic:pic>
                    </a:graphicData>
                  </a:graphic>
                </wp:inline>
              </w:drawing>
            </w:r>
          </w:p>
        </w:tc>
        <w:tc>
          <w:tcPr>
            <w:tcW w:w="2769" w:type="dxa"/>
            <w:vAlign w:val="bottom"/>
          </w:tcPr>
          <w:p w:rsidR="003A0D27" w:rsidRPr="003A0D27" w:rsidRDefault="00854A80" w:rsidP="003A0D27">
            <w:pPr>
              <w:jc w:val="center"/>
              <w:rPr>
                <w:noProof/>
                <w:sz w:val="16"/>
                <w:lang w:eastAsia="el-GR"/>
              </w:rPr>
            </w:pPr>
            <w:r>
              <w:rPr>
                <w:noProof/>
                <w:sz w:val="16"/>
                <w:lang w:eastAsia="el-GR"/>
              </w:rPr>
              <w:drawing>
                <wp:inline distT="0" distB="0" distL="0" distR="0" wp14:anchorId="5F23EF53">
                  <wp:extent cx="1431000" cy="32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000" cy="324000"/>
                          </a:xfrm>
                          <a:prstGeom prst="rect">
                            <a:avLst/>
                          </a:prstGeom>
                          <a:noFill/>
                        </pic:spPr>
                      </pic:pic>
                    </a:graphicData>
                  </a:graphic>
                </wp:inline>
              </w:drawing>
            </w:r>
          </w:p>
        </w:tc>
        <w:tc>
          <w:tcPr>
            <w:tcW w:w="2769" w:type="dxa"/>
            <w:vAlign w:val="bottom"/>
          </w:tcPr>
          <w:p w:rsidR="003A0D27" w:rsidRPr="003A0D27" w:rsidRDefault="00541AB7" w:rsidP="003A0D27">
            <w:pPr>
              <w:jc w:val="center"/>
              <w:rPr>
                <w:sz w:val="16"/>
                <w:lang w:val="en-GB"/>
              </w:rPr>
            </w:pPr>
            <w:r>
              <w:rPr>
                <w:noProof/>
                <w:sz w:val="16"/>
                <w:lang w:eastAsia="el-GR"/>
              </w:rPr>
              <w:drawing>
                <wp:inline distT="0" distB="0" distL="0" distR="0" wp14:anchorId="60B94E2D">
                  <wp:extent cx="1098307" cy="25200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8307" cy="252000"/>
                          </a:xfrm>
                          <a:prstGeom prst="rect">
                            <a:avLst/>
                          </a:prstGeom>
                          <a:noFill/>
                        </pic:spPr>
                      </pic:pic>
                    </a:graphicData>
                  </a:graphic>
                </wp:inline>
              </w:drawing>
            </w:r>
          </w:p>
        </w:tc>
      </w:tr>
      <w:tr w:rsidR="003304B9" w:rsidRPr="00CB146F" w:rsidTr="00483E50">
        <w:trPr>
          <w:jc w:val="center"/>
        </w:trPr>
        <w:tc>
          <w:tcPr>
            <w:tcW w:w="2768" w:type="dxa"/>
          </w:tcPr>
          <w:p w:rsidR="003304B9" w:rsidRPr="003A0D27" w:rsidRDefault="003304B9" w:rsidP="00483E50">
            <w:pPr>
              <w:spacing w:after="60"/>
              <w:jc w:val="center"/>
              <w:rPr>
                <w:sz w:val="16"/>
                <w:lang w:val="en-GB"/>
              </w:rPr>
            </w:pPr>
            <w:r w:rsidRPr="003A0D27">
              <w:rPr>
                <w:sz w:val="16"/>
                <w:lang w:val="en-GB"/>
              </w:rPr>
              <w:t>Norwegian University of Science and Technology, Norway (coordinator)</w:t>
            </w:r>
          </w:p>
        </w:tc>
        <w:tc>
          <w:tcPr>
            <w:tcW w:w="2769" w:type="dxa"/>
          </w:tcPr>
          <w:p w:rsidR="003304B9" w:rsidRPr="003A0D27" w:rsidRDefault="003304B9" w:rsidP="00483E50">
            <w:pPr>
              <w:spacing w:after="60"/>
              <w:jc w:val="center"/>
              <w:rPr>
                <w:sz w:val="16"/>
                <w:lang w:val="en-GB"/>
              </w:rPr>
            </w:pPr>
            <w:r w:rsidRPr="003A0D27">
              <w:rPr>
                <w:sz w:val="16"/>
                <w:lang w:val="en-GB"/>
              </w:rPr>
              <w:t>University of Oulu, Finland</w:t>
            </w:r>
          </w:p>
        </w:tc>
        <w:tc>
          <w:tcPr>
            <w:tcW w:w="2769" w:type="dxa"/>
          </w:tcPr>
          <w:p w:rsidR="003304B9" w:rsidRPr="003A0D27" w:rsidRDefault="003304B9" w:rsidP="00483E50">
            <w:pPr>
              <w:spacing w:after="60"/>
              <w:jc w:val="center"/>
              <w:rPr>
                <w:sz w:val="16"/>
                <w:lang w:val="en-GB"/>
              </w:rPr>
            </w:pPr>
            <w:r w:rsidRPr="003A0D27">
              <w:rPr>
                <w:sz w:val="16"/>
                <w:lang w:val="en-GB"/>
              </w:rPr>
              <w:t>Foundation for Research and Technology – Hellas, Greece</w:t>
            </w:r>
          </w:p>
        </w:tc>
      </w:tr>
      <w:tr w:rsidR="00BE4C12" w:rsidRPr="003A0D27" w:rsidTr="00483E50">
        <w:trPr>
          <w:jc w:val="center"/>
        </w:trPr>
        <w:tc>
          <w:tcPr>
            <w:tcW w:w="2768" w:type="dxa"/>
            <w:vAlign w:val="bottom"/>
          </w:tcPr>
          <w:p w:rsidR="00BE4C12" w:rsidRPr="003A0D27" w:rsidRDefault="00854A80" w:rsidP="0036117D">
            <w:pPr>
              <w:jc w:val="center"/>
              <w:rPr>
                <w:noProof/>
                <w:sz w:val="16"/>
                <w:lang w:eastAsia="el-GR"/>
              </w:rPr>
            </w:pPr>
            <w:r>
              <w:rPr>
                <w:noProof/>
                <w:sz w:val="16"/>
                <w:lang w:eastAsia="el-GR"/>
              </w:rPr>
              <w:drawing>
                <wp:inline distT="0" distB="0" distL="0" distR="0" wp14:anchorId="773B4E62">
                  <wp:extent cx="1339437" cy="288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437" cy="288000"/>
                          </a:xfrm>
                          <a:prstGeom prst="rect">
                            <a:avLst/>
                          </a:prstGeom>
                          <a:noFill/>
                        </pic:spPr>
                      </pic:pic>
                    </a:graphicData>
                  </a:graphic>
                </wp:inline>
              </w:drawing>
            </w:r>
          </w:p>
        </w:tc>
        <w:tc>
          <w:tcPr>
            <w:tcW w:w="2769" w:type="dxa"/>
            <w:vAlign w:val="bottom"/>
          </w:tcPr>
          <w:p w:rsidR="00BE4C12" w:rsidRPr="003A0D27" w:rsidRDefault="007162F7" w:rsidP="0036117D">
            <w:pPr>
              <w:jc w:val="center"/>
              <w:rPr>
                <w:noProof/>
                <w:sz w:val="16"/>
                <w:lang w:eastAsia="el-GR"/>
              </w:rPr>
            </w:pPr>
            <w:r>
              <w:rPr>
                <w:noProof/>
                <w:sz w:val="16"/>
                <w:lang w:eastAsia="el-GR"/>
              </w:rPr>
              <w:drawing>
                <wp:inline distT="0" distB="0" distL="0" distR="0" wp14:anchorId="0496D197">
                  <wp:extent cx="746609" cy="32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609" cy="324000"/>
                          </a:xfrm>
                          <a:prstGeom prst="rect">
                            <a:avLst/>
                          </a:prstGeom>
                          <a:noFill/>
                        </pic:spPr>
                      </pic:pic>
                    </a:graphicData>
                  </a:graphic>
                </wp:inline>
              </w:drawing>
            </w:r>
          </w:p>
        </w:tc>
        <w:tc>
          <w:tcPr>
            <w:tcW w:w="2769" w:type="dxa"/>
            <w:vAlign w:val="bottom"/>
          </w:tcPr>
          <w:p w:rsidR="00BE4C12" w:rsidRPr="003A0D27" w:rsidRDefault="0036117D" w:rsidP="0036117D">
            <w:pPr>
              <w:jc w:val="center"/>
              <w:rPr>
                <w:sz w:val="16"/>
                <w:lang w:val="en-GB"/>
              </w:rPr>
            </w:pPr>
            <w:r>
              <w:rPr>
                <w:noProof/>
                <w:sz w:val="16"/>
                <w:lang w:eastAsia="el-GR"/>
              </w:rPr>
              <w:drawing>
                <wp:inline distT="0" distB="0" distL="0" distR="0">
                  <wp:extent cx="782943" cy="252000"/>
                  <wp:effectExtent l="0" t="0" r="0" b="0"/>
                  <wp:docPr id="19" name="Picture 19" descr="\\okeanos\hci\Projects\COMnPLAY\Dissemination\_PartnerLogos\t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keanos\hci\Projects\COMnPLAY\Dissemination\_PartnerLogos\tu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2943" cy="252000"/>
                          </a:xfrm>
                          <a:prstGeom prst="rect">
                            <a:avLst/>
                          </a:prstGeom>
                          <a:noFill/>
                          <a:ln>
                            <a:noFill/>
                          </a:ln>
                        </pic:spPr>
                      </pic:pic>
                    </a:graphicData>
                  </a:graphic>
                </wp:inline>
              </w:drawing>
            </w:r>
          </w:p>
        </w:tc>
      </w:tr>
      <w:tr w:rsidR="003304B9" w:rsidRPr="00CB146F" w:rsidTr="00483E50">
        <w:trPr>
          <w:jc w:val="center"/>
        </w:trPr>
        <w:tc>
          <w:tcPr>
            <w:tcW w:w="2768" w:type="dxa"/>
          </w:tcPr>
          <w:p w:rsidR="003304B9" w:rsidRPr="003A0D27" w:rsidRDefault="0036117D" w:rsidP="00483E50">
            <w:pPr>
              <w:spacing w:after="60"/>
              <w:jc w:val="center"/>
              <w:rPr>
                <w:sz w:val="16"/>
                <w:lang w:val="en-GB"/>
              </w:rPr>
            </w:pPr>
            <w:r w:rsidRPr="0036117D">
              <w:rPr>
                <w:sz w:val="16"/>
                <w:lang w:val="en-GB"/>
              </w:rPr>
              <w:t>Eindhoven University of Technology</w:t>
            </w:r>
            <w:r w:rsidR="003304B9" w:rsidRPr="003A0D27">
              <w:rPr>
                <w:sz w:val="16"/>
                <w:lang w:val="en-GB"/>
              </w:rPr>
              <w:t>, Netherlands</w:t>
            </w:r>
          </w:p>
        </w:tc>
        <w:tc>
          <w:tcPr>
            <w:tcW w:w="2769" w:type="dxa"/>
          </w:tcPr>
          <w:p w:rsidR="003304B9" w:rsidRPr="003A0D27" w:rsidRDefault="003304B9" w:rsidP="00483E50">
            <w:pPr>
              <w:spacing w:after="60"/>
              <w:jc w:val="center"/>
              <w:rPr>
                <w:sz w:val="16"/>
                <w:lang w:val="en-GB"/>
              </w:rPr>
            </w:pPr>
            <w:r w:rsidRPr="003A0D27">
              <w:rPr>
                <w:sz w:val="16"/>
                <w:lang w:val="en-GB"/>
              </w:rPr>
              <w:t>Uppsala University, Sweden</w:t>
            </w:r>
          </w:p>
        </w:tc>
        <w:tc>
          <w:tcPr>
            <w:tcW w:w="2769" w:type="dxa"/>
          </w:tcPr>
          <w:p w:rsidR="003304B9" w:rsidRPr="003A0D27" w:rsidRDefault="003304B9" w:rsidP="00483E50">
            <w:pPr>
              <w:spacing w:after="60"/>
              <w:jc w:val="center"/>
              <w:rPr>
                <w:sz w:val="16"/>
                <w:lang w:val="en-GB"/>
              </w:rPr>
            </w:pPr>
            <w:r w:rsidRPr="003A0D27">
              <w:rPr>
                <w:sz w:val="16"/>
                <w:lang w:val="en-GB"/>
              </w:rPr>
              <w:t>Technical University of Munich, Germany</w:t>
            </w:r>
          </w:p>
        </w:tc>
      </w:tr>
      <w:tr w:rsidR="00BE4C12" w:rsidRPr="004830C1" w:rsidTr="00483E50">
        <w:trPr>
          <w:jc w:val="center"/>
        </w:trPr>
        <w:tc>
          <w:tcPr>
            <w:tcW w:w="2768" w:type="dxa"/>
            <w:vAlign w:val="bottom"/>
          </w:tcPr>
          <w:p w:rsidR="00BE4C12" w:rsidRPr="003A28B0" w:rsidRDefault="00C13FD9" w:rsidP="00AD5649">
            <w:pPr>
              <w:jc w:val="center"/>
              <w:rPr>
                <w:noProof/>
                <w:sz w:val="16"/>
                <w:lang w:val="en-US" w:eastAsia="el-GR"/>
              </w:rPr>
            </w:pPr>
            <w:r>
              <w:rPr>
                <w:noProof/>
                <w:sz w:val="16"/>
                <w:lang w:eastAsia="el-GR"/>
              </w:rPr>
              <w:drawing>
                <wp:inline distT="0" distB="0" distL="0" distR="0">
                  <wp:extent cx="984821" cy="324000"/>
                  <wp:effectExtent l="0" t="0" r="6350" b="0"/>
                  <wp:docPr id="3" name="Picture 3" descr="\\okeanos\hci\Projects\COMnPLAY\Dissemination\_PartnerLogos\1200px-University_of_Malta_branding_logo_as_of_2018.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eanos\hci\Projects\COMnPLAY\Dissemination\_PartnerLogos\1200px-University_of_Malta_branding_logo_as_of_2018.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4821" cy="324000"/>
                          </a:xfrm>
                          <a:prstGeom prst="rect">
                            <a:avLst/>
                          </a:prstGeom>
                          <a:noFill/>
                          <a:ln>
                            <a:noFill/>
                          </a:ln>
                        </pic:spPr>
                      </pic:pic>
                    </a:graphicData>
                  </a:graphic>
                </wp:inline>
              </w:drawing>
            </w:r>
          </w:p>
        </w:tc>
        <w:tc>
          <w:tcPr>
            <w:tcW w:w="2769" w:type="dxa"/>
            <w:vAlign w:val="bottom"/>
          </w:tcPr>
          <w:p w:rsidR="00BE4C12" w:rsidRPr="003A28B0" w:rsidRDefault="00C13FD9" w:rsidP="00AD5649">
            <w:pPr>
              <w:jc w:val="center"/>
              <w:rPr>
                <w:noProof/>
                <w:sz w:val="16"/>
                <w:lang w:val="en-US" w:eastAsia="el-GR"/>
              </w:rPr>
            </w:pPr>
            <w:r>
              <w:rPr>
                <w:noProof/>
                <w:sz w:val="16"/>
                <w:lang w:eastAsia="el-GR"/>
              </w:rPr>
              <w:drawing>
                <wp:inline distT="0" distB="0" distL="0" distR="0">
                  <wp:extent cx="518076" cy="324000"/>
                  <wp:effectExtent l="0" t="0" r="0" b="0"/>
                  <wp:docPr id="5" name="Picture 5" descr="\\okeanos\hci\Projects\COMnPLAY\Dissemination\_PartnerLogos\DESIGNFORCH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eanos\hci\Projects\COMnPLAY\Dissemination\_PartnerLogos\DESIGNFORCHANG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076" cy="324000"/>
                          </a:xfrm>
                          <a:prstGeom prst="rect">
                            <a:avLst/>
                          </a:prstGeom>
                          <a:noFill/>
                          <a:ln>
                            <a:noFill/>
                          </a:ln>
                        </pic:spPr>
                      </pic:pic>
                    </a:graphicData>
                  </a:graphic>
                </wp:inline>
              </w:drawing>
            </w:r>
          </w:p>
        </w:tc>
        <w:tc>
          <w:tcPr>
            <w:tcW w:w="2769" w:type="dxa"/>
            <w:vAlign w:val="bottom"/>
          </w:tcPr>
          <w:p w:rsidR="00BE4C12" w:rsidRPr="003A0D27" w:rsidRDefault="00C13FD9" w:rsidP="00AD5649">
            <w:pPr>
              <w:jc w:val="center"/>
              <w:rPr>
                <w:sz w:val="16"/>
                <w:lang w:val="en-GB"/>
              </w:rPr>
            </w:pPr>
            <w:r>
              <w:rPr>
                <w:noProof/>
                <w:sz w:val="16"/>
                <w:lang w:eastAsia="el-GR"/>
              </w:rPr>
              <w:drawing>
                <wp:inline distT="0" distB="0" distL="0" distR="0">
                  <wp:extent cx="1080846" cy="252000"/>
                  <wp:effectExtent l="0" t="0" r="5080" b="0"/>
                  <wp:docPr id="7" name="Picture 7" descr="\\okeanos\hci\Projects\COMnPLAY\Dissemination\_PartnerLogos\O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eanos\hci\Projects\COMnPLAY\Dissemination\_PartnerLogos\OVO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846" cy="252000"/>
                          </a:xfrm>
                          <a:prstGeom prst="rect">
                            <a:avLst/>
                          </a:prstGeom>
                          <a:noFill/>
                          <a:ln>
                            <a:noFill/>
                          </a:ln>
                        </pic:spPr>
                      </pic:pic>
                    </a:graphicData>
                  </a:graphic>
                </wp:inline>
              </w:drawing>
            </w:r>
          </w:p>
        </w:tc>
      </w:tr>
      <w:tr w:rsidR="003304B9" w:rsidRPr="003A0D27" w:rsidTr="00483E50">
        <w:trPr>
          <w:jc w:val="center"/>
        </w:trPr>
        <w:tc>
          <w:tcPr>
            <w:tcW w:w="2768" w:type="dxa"/>
          </w:tcPr>
          <w:p w:rsidR="003304B9" w:rsidRPr="003A0D27" w:rsidRDefault="003304B9" w:rsidP="00483E50">
            <w:pPr>
              <w:spacing w:after="60"/>
              <w:jc w:val="center"/>
              <w:rPr>
                <w:sz w:val="16"/>
                <w:lang w:val="en-GB"/>
              </w:rPr>
            </w:pPr>
            <w:r w:rsidRPr="003A0D27">
              <w:rPr>
                <w:sz w:val="16"/>
                <w:lang w:val="en-GB"/>
              </w:rPr>
              <w:t>University of Malta, Malta</w:t>
            </w:r>
          </w:p>
        </w:tc>
        <w:tc>
          <w:tcPr>
            <w:tcW w:w="2769" w:type="dxa"/>
          </w:tcPr>
          <w:p w:rsidR="003304B9" w:rsidRPr="003A0D27" w:rsidRDefault="003304B9" w:rsidP="00483E50">
            <w:pPr>
              <w:spacing w:after="60"/>
              <w:jc w:val="center"/>
              <w:rPr>
                <w:sz w:val="16"/>
                <w:lang w:val="en-GB"/>
              </w:rPr>
            </w:pPr>
            <w:r w:rsidRPr="003A0D27">
              <w:rPr>
                <w:sz w:val="16"/>
                <w:lang w:val="en-GB"/>
              </w:rPr>
              <w:t>Design for Change initiative, Spain</w:t>
            </w:r>
          </w:p>
        </w:tc>
        <w:tc>
          <w:tcPr>
            <w:tcW w:w="2769" w:type="dxa"/>
          </w:tcPr>
          <w:p w:rsidR="003304B9" w:rsidRPr="003A0D27" w:rsidRDefault="003304B9" w:rsidP="00483E50">
            <w:pPr>
              <w:spacing w:after="60"/>
              <w:jc w:val="center"/>
              <w:rPr>
                <w:sz w:val="16"/>
                <w:lang w:val="en-GB"/>
              </w:rPr>
            </w:pPr>
            <w:proofErr w:type="spellStart"/>
            <w:r w:rsidRPr="003A0D27">
              <w:rPr>
                <w:sz w:val="16"/>
                <w:lang w:val="en-GB"/>
              </w:rPr>
              <w:t>ovos</w:t>
            </w:r>
            <w:proofErr w:type="spellEnd"/>
            <w:r w:rsidRPr="003A0D27">
              <w:rPr>
                <w:sz w:val="16"/>
                <w:lang w:val="en-GB"/>
              </w:rPr>
              <w:t xml:space="preserve"> media GmbH, Austria</w:t>
            </w:r>
          </w:p>
        </w:tc>
      </w:tr>
      <w:tr w:rsidR="009D0DA9" w:rsidRPr="003A0D27" w:rsidTr="00D60F78">
        <w:tblPrEx>
          <w:tblCellMar>
            <w:bottom w:w="57" w:type="dxa"/>
          </w:tblCellMar>
        </w:tblPrEx>
        <w:trPr>
          <w:gridAfter w:val="1"/>
          <w:wAfter w:w="2769" w:type="dxa"/>
          <w:jc w:val="center"/>
        </w:trPr>
        <w:tc>
          <w:tcPr>
            <w:tcW w:w="2768" w:type="dxa"/>
            <w:vAlign w:val="bottom"/>
          </w:tcPr>
          <w:p w:rsidR="009D0DA9" w:rsidRPr="003A0D27" w:rsidRDefault="009D0DA9" w:rsidP="00AD5649">
            <w:pPr>
              <w:jc w:val="center"/>
              <w:rPr>
                <w:noProof/>
                <w:sz w:val="16"/>
                <w:lang w:eastAsia="el-GR"/>
              </w:rPr>
            </w:pPr>
            <w:r>
              <w:rPr>
                <w:noProof/>
                <w:sz w:val="16"/>
                <w:lang w:eastAsia="el-GR"/>
              </w:rPr>
              <w:drawing>
                <wp:inline distT="0" distB="0" distL="0" distR="0" wp14:anchorId="247A97F9" wp14:editId="0E24FB7C">
                  <wp:extent cx="489643" cy="32400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9643" cy="324000"/>
                          </a:xfrm>
                          <a:prstGeom prst="rect">
                            <a:avLst/>
                          </a:prstGeom>
                          <a:noFill/>
                        </pic:spPr>
                      </pic:pic>
                    </a:graphicData>
                  </a:graphic>
                </wp:inline>
              </w:drawing>
            </w:r>
          </w:p>
        </w:tc>
        <w:tc>
          <w:tcPr>
            <w:tcW w:w="2769" w:type="dxa"/>
            <w:vAlign w:val="bottom"/>
          </w:tcPr>
          <w:p w:rsidR="009D0DA9" w:rsidRPr="003A0D27" w:rsidRDefault="00A554EE" w:rsidP="00AD5649">
            <w:pPr>
              <w:jc w:val="center"/>
              <w:rPr>
                <w:noProof/>
                <w:sz w:val="16"/>
                <w:lang w:eastAsia="el-GR"/>
              </w:rPr>
            </w:pPr>
            <w:r>
              <w:rPr>
                <w:noProof/>
                <w:sz w:val="16"/>
                <w:lang w:eastAsia="el-GR"/>
              </w:rPr>
              <w:drawing>
                <wp:inline distT="0" distB="0" distL="0" distR="0" wp14:anchorId="6D7EA30A">
                  <wp:extent cx="533154" cy="32400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154" cy="324000"/>
                          </a:xfrm>
                          <a:prstGeom prst="rect">
                            <a:avLst/>
                          </a:prstGeom>
                          <a:noFill/>
                        </pic:spPr>
                      </pic:pic>
                    </a:graphicData>
                  </a:graphic>
                </wp:inline>
              </w:drawing>
            </w:r>
          </w:p>
        </w:tc>
      </w:tr>
      <w:tr w:rsidR="009D0DA9" w:rsidRPr="004830C1" w:rsidTr="00CD33DB">
        <w:tblPrEx>
          <w:tblCellMar>
            <w:bottom w:w="57" w:type="dxa"/>
          </w:tblCellMar>
        </w:tblPrEx>
        <w:trPr>
          <w:gridAfter w:val="1"/>
          <w:wAfter w:w="2769" w:type="dxa"/>
          <w:trHeight w:val="113"/>
          <w:jc w:val="center"/>
        </w:trPr>
        <w:tc>
          <w:tcPr>
            <w:tcW w:w="2768" w:type="dxa"/>
          </w:tcPr>
          <w:p w:rsidR="009D0DA9" w:rsidRPr="003A0D27" w:rsidRDefault="009D0DA9" w:rsidP="00CD33DB">
            <w:pPr>
              <w:jc w:val="center"/>
              <w:rPr>
                <w:sz w:val="16"/>
                <w:lang w:val="en-GB"/>
              </w:rPr>
            </w:pPr>
            <w:r w:rsidRPr="003A0D27">
              <w:rPr>
                <w:sz w:val="16"/>
                <w:lang w:val="en-GB"/>
              </w:rPr>
              <w:t>King's College London, UK</w:t>
            </w:r>
          </w:p>
        </w:tc>
        <w:tc>
          <w:tcPr>
            <w:tcW w:w="2769" w:type="dxa"/>
          </w:tcPr>
          <w:p w:rsidR="009D0DA9" w:rsidRPr="003A0D27" w:rsidRDefault="009D0DA9" w:rsidP="00CD33DB">
            <w:pPr>
              <w:jc w:val="center"/>
              <w:rPr>
                <w:sz w:val="16"/>
                <w:lang w:val="en-GB"/>
              </w:rPr>
            </w:pPr>
            <w:r w:rsidRPr="003A0D27">
              <w:rPr>
                <w:sz w:val="16"/>
                <w:lang w:val="en-GB"/>
              </w:rPr>
              <w:t>Science Museum Group, UK</w:t>
            </w:r>
          </w:p>
        </w:tc>
      </w:tr>
    </w:tbl>
    <w:p w:rsidR="00846832" w:rsidRDefault="00846832" w:rsidP="00846832">
      <w:pPr>
        <w:pStyle w:val="NoSpacing"/>
        <w:rPr>
          <w:lang w:val="en-GB"/>
        </w:rPr>
      </w:pPr>
    </w:p>
    <w:p w:rsidR="009B3D74" w:rsidRPr="00252F89" w:rsidRDefault="008F65A9" w:rsidP="00B30FE5">
      <w:pPr>
        <w:jc w:val="both"/>
        <w:rPr>
          <w:b/>
          <w:lang w:val="en-GB"/>
        </w:rPr>
      </w:pPr>
      <w:r w:rsidRPr="00252F89">
        <w:rPr>
          <w:b/>
          <w:lang w:val="en-GB"/>
        </w:rPr>
        <w:t>Web &amp; Social media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26"/>
      </w:tblGrid>
      <w:tr w:rsidR="00C125C9" w:rsidRPr="00CB146F" w:rsidTr="00DD06CD">
        <w:tc>
          <w:tcPr>
            <w:tcW w:w="2560" w:type="pct"/>
          </w:tcPr>
          <w:p w:rsidR="009762B4" w:rsidRDefault="009762B4" w:rsidP="00397553">
            <w:pPr>
              <w:spacing w:after="60"/>
              <w:jc w:val="both"/>
              <w:rPr>
                <w:lang w:val="en-US"/>
              </w:rPr>
            </w:pPr>
            <w:r>
              <w:rPr>
                <w:lang w:val="en-GB"/>
              </w:rPr>
              <w:t xml:space="preserve">Web Site: </w:t>
            </w:r>
            <w:hyperlink r:id="rId19" w:history="1">
              <w:r>
                <w:rPr>
                  <w:rStyle w:val="Hyperlink"/>
                  <w:lang w:val="en-US"/>
                </w:rPr>
                <w:t>http://comnplayscience.eu</w:t>
              </w:r>
            </w:hyperlink>
          </w:p>
          <w:p w:rsidR="00397553" w:rsidRPr="00214EBC" w:rsidRDefault="00981F5A" w:rsidP="00397553">
            <w:pPr>
              <w:spacing w:after="60"/>
              <w:jc w:val="both"/>
              <w:rPr>
                <w:lang w:val="en-US"/>
              </w:rPr>
            </w:pPr>
            <w:r>
              <w:rPr>
                <w:lang w:val="en-GB"/>
              </w:rPr>
              <w:t xml:space="preserve">YouTube: </w:t>
            </w:r>
            <w:hyperlink r:id="rId20" w:history="1">
              <w:r w:rsidRPr="00C3734D">
                <w:rPr>
                  <w:rStyle w:val="Hyperlink"/>
                  <w:lang w:val="en-GB"/>
                </w:rPr>
                <w:t>https://bit.ly/2Hq5FsK</w:t>
              </w:r>
            </w:hyperlink>
          </w:p>
        </w:tc>
        <w:tc>
          <w:tcPr>
            <w:tcW w:w="2440" w:type="pct"/>
          </w:tcPr>
          <w:p w:rsidR="00397553" w:rsidRDefault="00397553" w:rsidP="00397553">
            <w:pPr>
              <w:spacing w:after="60"/>
              <w:jc w:val="both"/>
              <w:rPr>
                <w:lang w:val="en-GB"/>
              </w:rPr>
            </w:pPr>
            <w:r w:rsidRPr="00252F89">
              <w:rPr>
                <w:lang w:val="en-GB"/>
              </w:rPr>
              <w:t>Facebook:</w:t>
            </w:r>
            <w:r>
              <w:rPr>
                <w:lang w:val="en-GB"/>
              </w:rPr>
              <w:t xml:space="preserve"> </w:t>
            </w:r>
            <w:hyperlink r:id="rId21" w:history="1">
              <w:r w:rsidR="00AE184B" w:rsidRPr="00C3734D">
                <w:rPr>
                  <w:rStyle w:val="Hyperlink"/>
                  <w:lang w:val="en-GB"/>
                </w:rPr>
                <w:t>https://fb.me/ComNPlayScience</w:t>
              </w:r>
            </w:hyperlink>
          </w:p>
          <w:p w:rsidR="00981F5A" w:rsidRDefault="00981F5A" w:rsidP="00397553">
            <w:pPr>
              <w:spacing w:after="60"/>
              <w:jc w:val="both"/>
              <w:rPr>
                <w:lang w:val="en-GB"/>
              </w:rPr>
            </w:pPr>
            <w:r>
              <w:rPr>
                <w:lang w:val="en-GB"/>
              </w:rPr>
              <w:t xml:space="preserve">Twitter: </w:t>
            </w:r>
            <w:r w:rsidRPr="00981F5A">
              <w:rPr>
                <w:color w:val="2E74B5" w:themeColor="accent1" w:themeShade="BF"/>
                <w:lang w:val="en-GB"/>
              </w:rPr>
              <w:t>@comnplayscience</w:t>
            </w:r>
          </w:p>
        </w:tc>
      </w:tr>
      <w:tr w:rsidR="00397553" w:rsidRPr="00CB146F" w:rsidTr="00397553">
        <w:tc>
          <w:tcPr>
            <w:tcW w:w="5000" w:type="pct"/>
            <w:gridSpan w:val="2"/>
          </w:tcPr>
          <w:p w:rsidR="00397553" w:rsidRPr="00252F89" w:rsidRDefault="00397553" w:rsidP="00397553">
            <w:pPr>
              <w:spacing w:after="60"/>
              <w:jc w:val="both"/>
              <w:rPr>
                <w:lang w:val="en-GB"/>
              </w:rPr>
            </w:pPr>
            <w:r>
              <w:rPr>
                <w:lang w:val="en-GB"/>
              </w:rPr>
              <w:t xml:space="preserve">ResearchGate: </w:t>
            </w:r>
            <w:hyperlink r:id="rId22" w:history="1">
              <w:r w:rsidRPr="00C3734D">
                <w:rPr>
                  <w:rStyle w:val="Hyperlink"/>
                  <w:lang w:val="en-GB"/>
                </w:rPr>
                <w:t>https://www.researchgate.net/project/CoM-n-Play-Science</w:t>
              </w:r>
            </w:hyperlink>
          </w:p>
        </w:tc>
      </w:tr>
    </w:tbl>
    <w:p w:rsidR="00C62D07" w:rsidRPr="00C62D07" w:rsidRDefault="00C62D07" w:rsidP="00C62D07">
      <w:pPr>
        <w:pStyle w:val="NoSpacing"/>
        <w:rPr>
          <w:sz w:val="28"/>
          <w:lang w:val="en-GB"/>
        </w:rPr>
      </w:pPr>
    </w:p>
    <w:p w:rsidR="00C125C9" w:rsidRPr="00C62D07" w:rsidRDefault="00C62D07" w:rsidP="00C62D07">
      <w:pPr>
        <w:rPr>
          <w:sz w:val="20"/>
          <w:lang w:val="en-GB"/>
        </w:rPr>
      </w:pPr>
      <w:r w:rsidRPr="00C62D07">
        <w:rPr>
          <w:i/>
          <w:noProof/>
          <w:sz w:val="16"/>
          <w:lang w:eastAsia="el-GR"/>
        </w:rPr>
        <w:drawing>
          <wp:anchor distT="0" distB="0" distL="114300" distR="114300" simplePos="0" relativeHeight="251659264" behindDoc="0" locked="0" layoutInCell="1" allowOverlap="1" wp14:anchorId="21774E4E" wp14:editId="7903C0A1">
            <wp:simplePos x="0" y="0"/>
            <wp:positionH relativeFrom="column">
              <wp:posOffset>-5080</wp:posOffset>
            </wp:positionH>
            <wp:positionV relativeFrom="paragraph">
              <wp:posOffset>19949</wp:posOffset>
            </wp:positionV>
            <wp:extent cx="551815" cy="368300"/>
            <wp:effectExtent l="0" t="0" r="635" b="0"/>
            <wp:wrapSquare wrapText="bothSides"/>
            <wp:docPr id="4" name="Picture 3" descr="https://europa.eu/european-union/sites/europaeu/files/docs/body/flag_yellow_low.jpg"/>
            <wp:cNvGraphicFramePr/>
            <a:graphic xmlns:a="http://schemas.openxmlformats.org/drawingml/2006/main">
              <a:graphicData uri="http://schemas.openxmlformats.org/drawingml/2006/picture">
                <pic:pic xmlns:pic="http://schemas.openxmlformats.org/drawingml/2006/picture">
                  <pic:nvPicPr>
                    <pic:cNvPr id="4" name="Picture 3" descr="https://europa.eu/european-union/sites/europaeu/files/docs/body/flag_yellow_low.jp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1815"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D07">
        <w:rPr>
          <w:i/>
          <w:sz w:val="16"/>
          <w:lang w:val="en-GB"/>
        </w:rPr>
        <w:t>This project has received funding from the European Union’s Horizon 2020 research and innovation programme under grant agreement No 787476. This document reflects only the authors’ view. The Research Executive Agency (REA) and the European Commission are not responsible for any use that may be made of the information it contains.</w:t>
      </w:r>
    </w:p>
    <w:sectPr w:rsidR="00C125C9" w:rsidRPr="00C62D07" w:rsidSect="00ED2787">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3B7" w:rsidRDefault="009913B7" w:rsidP="009913B7">
      <w:pPr>
        <w:spacing w:after="0" w:line="240" w:lineRule="auto"/>
      </w:pPr>
      <w:r>
        <w:separator/>
      </w:r>
    </w:p>
  </w:endnote>
  <w:endnote w:type="continuationSeparator" w:id="0">
    <w:p w:rsidR="009913B7" w:rsidRDefault="009913B7" w:rsidP="0099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3B7" w:rsidRDefault="009913B7" w:rsidP="009913B7">
      <w:pPr>
        <w:spacing w:after="0" w:line="240" w:lineRule="auto"/>
      </w:pPr>
      <w:r>
        <w:separator/>
      </w:r>
    </w:p>
  </w:footnote>
  <w:footnote w:type="continuationSeparator" w:id="0">
    <w:p w:rsidR="009913B7" w:rsidRDefault="009913B7" w:rsidP="00991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5FB"/>
    <w:multiLevelType w:val="hybridMultilevel"/>
    <w:tmpl w:val="FE04A8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CA7B2B"/>
    <w:multiLevelType w:val="hybridMultilevel"/>
    <w:tmpl w:val="C1A42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F33C00"/>
    <w:multiLevelType w:val="hybridMultilevel"/>
    <w:tmpl w:val="1B669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B40841"/>
    <w:multiLevelType w:val="hybridMultilevel"/>
    <w:tmpl w:val="AEA2EFD4"/>
    <w:lvl w:ilvl="0" w:tplc="3CA873BC">
      <w:numFmt w:val="bullet"/>
      <w:lvlText w:val="•"/>
      <w:lvlJc w:val="left"/>
      <w:pPr>
        <w:ind w:left="720" w:hanging="720"/>
      </w:pPr>
      <w:rPr>
        <w:rFonts w:ascii="Calibri" w:eastAsiaTheme="minorHAnsi" w:hAnsi="Calibri"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70E2DCA"/>
    <w:multiLevelType w:val="hybridMultilevel"/>
    <w:tmpl w:val="90487FB0"/>
    <w:lvl w:ilvl="0" w:tplc="136ED764">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77542A"/>
    <w:multiLevelType w:val="hybridMultilevel"/>
    <w:tmpl w:val="153639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C14242A"/>
    <w:multiLevelType w:val="hybridMultilevel"/>
    <w:tmpl w:val="3C20FBD0"/>
    <w:lvl w:ilvl="0" w:tplc="3CA873BC">
      <w:numFmt w:val="bullet"/>
      <w:lvlText w:val="•"/>
      <w:lvlJc w:val="left"/>
      <w:pPr>
        <w:ind w:left="720" w:hanging="720"/>
      </w:pPr>
      <w:rPr>
        <w:rFonts w:ascii="Calibri" w:eastAsiaTheme="minorHAnsi" w:hAnsi="Calibri"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C357D54"/>
    <w:multiLevelType w:val="hybridMultilevel"/>
    <w:tmpl w:val="A8EC10CA"/>
    <w:lvl w:ilvl="0" w:tplc="4044F416">
      <w:start w:val="1"/>
      <w:numFmt w:val="lowerLetter"/>
      <w:lvlText w:val="%1."/>
      <w:lvlJc w:val="left"/>
      <w:pPr>
        <w:ind w:left="720" w:hanging="72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E2B47D5"/>
    <w:multiLevelType w:val="hybridMultilevel"/>
    <w:tmpl w:val="5044B226"/>
    <w:lvl w:ilvl="0" w:tplc="3CA873BC">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25B6B30"/>
    <w:multiLevelType w:val="hybridMultilevel"/>
    <w:tmpl w:val="B35EA900"/>
    <w:lvl w:ilvl="0" w:tplc="3CA873BC">
      <w:numFmt w:val="bullet"/>
      <w:lvlText w:val="•"/>
      <w:lvlJc w:val="left"/>
      <w:pPr>
        <w:ind w:left="1440" w:hanging="72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9"/>
  </w:num>
  <w:num w:numId="4">
    <w:abstractNumId w:val="6"/>
  </w:num>
  <w:num w:numId="5">
    <w:abstractNumId w:val="0"/>
  </w:num>
  <w:num w:numId="6">
    <w:abstractNumId w:val="3"/>
  </w:num>
  <w:num w:numId="7">
    <w:abstractNumId w:val="7"/>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C2"/>
    <w:rsid w:val="00014D16"/>
    <w:rsid w:val="00026DE0"/>
    <w:rsid w:val="00043893"/>
    <w:rsid w:val="00046E30"/>
    <w:rsid w:val="000E2974"/>
    <w:rsid w:val="000E331F"/>
    <w:rsid w:val="000F2E8A"/>
    <w:rsid w:val="001163DD"/>
    <w:rsid w:val="00144C75"/>
    <w:rsid w:val="001734E8"/>
    <w:rsid w:val="001B46A1"/>
    <w:rsid w:val="001D65BB"/>
    <w:rsid w:val="00214EBC"/>
    <w:rsid w:val="00220338"/>
    <w:rsid w:val="00252F89"/>
    <w:rsid w:val="00273A85"/>
    <w:rsid w:val="00293E61"/>
    <w:rsid w:val="002A26A8"/>
    <w:rsid w:val="0030160B"/>
    <w:rsid w:val="00306725"/>
    <w:rsid w:val="00326C80"/>
    <w:rsid w:val="003304B9"/>
    <w:rsid w:val="0036117D"/>
    <w:rsid w:val="003738CD"/>
    <w:rsid w:val="00376F02"/>
    <w:rsid w:val="00383396"/>
    <w:rsid w:val="00397553"/>
    <w:rsid w:val="003A0D27"/>
    <w:rsid w:val="003A28B0"/>
    <w:rsid w:val="003F31BF"/>
    <w:rsid w:val="004129A3"/>
    <w:rsid w:val="0046259C"/>
    <w:rsid w:val="004830C1"/>
    <w:rsid w:val="00483E50"/>
    <w:rsid w:val="004A26B8"/>
    <w:rsid w:val="004D10D7"/>
    <w:rsid w:val="004E545B"/>
    <w:rsid w:val="00511DA6"/>
    <w:rsid w:val="005302DE"/>
    <w:rsid w:val="005373C0"/>
    <w:rsid w:val="00540241"/>
    <w:rsid w:val="005413C9"/>
    <w:rsid w:val="00541AB7"/>
    <w:rsid w:val="00546BFB"/>
    <w:rsid w:val="00582465"/>
    <w:rsid w:val="005A76AF"/>
    <w:rsid w:val="005C4D15"/>
    <w:rsid w:val="005D2C1E"/>
    <w:rsid w:val="005F39DC"/>
    <w:rsid w:val="00600485"/>
    <w:rsid w:val="00674633"/>
    <w:rsid w:val="006A34C4"/>
    <w:rsid w:val="006B59A7"/>
    <w:rsid w:val="006C132F"/>
    <w:rsid w:val="006E122E"/>
    <w:rsid w:val="006F1CBC"/>
    <w:rsid w:val="00703D70"/>
    <w:rsid w:val="007162F7"/>
    <w:rsid w:val="00767629"/>
    <w:rsid w:val="00796B67"/>
    <w:rsid w:val="007D4278"/>
    <w:rsid w:val="007F5BCA"/>
    <w:rsid w:val="007F5F75"/>
    <w:rsid w:val="00846832"/>
    <w:rsid w:val="00854A80"/>
    <w:rsid w:val="00860868"/>
    <w:rsid w:val="0089762D"/>
    <w:rsid w:val="008B09BD"/>
    <w:rsid w:val="008D29A4"/>
    <w:rsid w:val="008D353E"/>
    <w:rsid w:val="008F65A9"/>
    <w:rsid w:val="00905EDC"/>
    <w:rsid w:val="00974BEA"/>
    <w:rsid w:val="009762B4"/>
    <w:rsid w:val="00981F5A"/>
    <w:rsid w:val="009913B7"/>
    <w:rsid w:val="009B0C34"/>
    <w:rsid w:val="009B3D74"/>
    <w:rsid w:val="009D0DA9"/>
    <w:rsid w:val="00A02A68"/>
    <w:rsid w:val="00A15425"/>
    <w:rsid w:val="00A405B7"/>
    <w:rsid w:val="00A554EE"/>
    <w:rsid w:val="00A93696"/>
    <w:rsid w:val="00AA3C35"/>
    <w:rsid w:val="00AC0449"/>
    <w:rsid w:val="00AE184B"/>
    <w:rsid w:val="00B01AC5"/>
    <w:rsid w:val="00B30FE5"/>
    <w:rsid w:val="00B52DE0"/>
    <w:rsid w:val="00B54A37"/>
    <w:rsid w:val="00B72418"/>
    <w:rsid w:val="00B813ED"/>
    <w:rsid w:val="00BC3C10"/>
    <w:rsid w:val="00BD70E5"/>
    <w:rsid w:val="00BE06C2"/>
    <w:rsid w:val="00BE4C12"/>
    <w:rsid w:val="00BE5235"/>
    <w:rsid w:val="00C125C9"/>
    <w:rsid w:val="00C13FD9"/>
    <w:rsid w:val="00C46DB4"/>
    <w:rsid w:val="00C5190D"/>
    <w:rsid w:val="00C62D07"/>
    <w:rsid w:val="00C82DAC"/>
    <w:rsid w:val="00C949B4"/>
    <w:rsid w:val="00CA025F"/>
    <w:rsid w:val="00CB146F"/>
    <w:rsid w:val="00CD33DB"/>
    <w:rsid w:val="00CF5CFE"/>
    <w:rsid w:val="00D07134"/>
    <w:rsid w:val="00D13CB0"/>
    <w:rsid w:val="00D60F78"/>
    <w:rsid w:val="00D82573"/>
    <w:rsid w:val="00D8769B"/>
    <w:rsid w:val="00DA72D9"/>
    <w:rsid w:val="00DF67CE"/>
    <w:rsid w:val="00E150EF"/>
    <w:rsid w:val="00E32331"/>
    <w:rsid w:val="00E46F45"/>
    <w:rsid w:val="00E4766B"/>
    <w:rsid w:val="00E64F59"/>
    <w:rsid w:val="00EB1DB5"/>
    <w:rsid w:val="00ED2787"/>
    <w:rsid w:val="00EE0A7F"/>
    <w:rsid w:val="00F079E3"/>
    <w:rsid w:val="00F22F06"/>
    <w:rsid w:val="00F278D5"/>
    <w:rsid w:val="00F42F47"/>
    <w:rsid w:val="00F44810"/>
    <w:rsid w:val="00F53701"/>
    <w:rsid w:val="00F53858"/>
    <w:rsid w:val="00F608CB"/>
    <w:rsid w:val="00F6672B"/>
    <w:rsid w:val="00F702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C44E2-35C1-42B4-B9E3-3D6BA756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D74"/>
    <w:pPr>
      <w:ind w:left="720"/>
      <w:contextualSpacing/>
    </w:pPr>
  </w:style>
  <w:style w:type="table" w:styleId="TableGrid">
    <w:name w:val="Table Grid"/>
    <w:basedOn w:val="TableNormal"/>
    <w:uiPriority w:val="39"/>
    <w:rsid w:val="0033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769B"/>
    <w:pPr>
      <w:spacing w:after="0" w:line="240" w:lineRule="auto"/>
    </w:pPr>
  </w:style>
  <w:style w:type="character" w:styleId="Hyperlink">
    <w:name w:val="Hyperlink"/>
    <w:basedOn w:val="DefaultParagraphFont"/>
    <w:uiPriority w:val="99"/>
    <w:unhideWhenUsed/>
    <w:rsid w:val="00846832"/>
    <w:rPr>
      <w:color w:val="0563C1" w:themeColor="hyperlink"/>
      <w:u w:val="single"/>
    </w:rPr>
  </w:style>
  <w:style w:type="paragraph" w:styleId="Header">
    <w:name w:val="header"/>
    <w:basedOn w:val="Normal"/>
    <w:link w:val="HeaderChar"/>
    <w:uiPriority w:val="99"/>
    <w:unhideWhenUsed/>
    <w:rsid w:val="009913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13B7"/>
  </w:style>
  <w:style w:type="paragraph" w:styleId="Footer">
    <w:name w:val="footer"/>
    <w:basedOn w:val="Normal"/>
    <w:link w:val="FooterChar"/>
    <w:uiPriority w:val="99"/>
    <w:unhideWhenUsed/>
    <w:rsid w:val="009913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fb.me/ComNPlayScienc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bit.ly/2Hq5F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3.jpeg"/><Relationship Id="rId10" Type="http://schemas.openxmlformats.org/officeDocument/2006/relationships/image" Target="media/image4.png"/><Relationship Id="rId19" Type="http://schemas.openxmlformats.org/officeDocument/2006/relationships/hyperlink" Target="http://comnplayscience.e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researchgate.net/project/CoM-n-Play-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904</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Grammenos</dc:creator>
  <cp:keywords/>
  <dc:description/>
  <cp:lastModifiedBy>Dimitris Grammenos</cp:lastModifiedBy>
  <cp:revision>160</cp:revision>
  <dcterms:created xsi:type="dcterms:W3CDTF">2018-05-30T07:32:00Z</dcterms:created>
  <dcterms:modified xsi:type="dcterms:W3CDTF">2018-09-10T14:43:00Z</dcterms:modified>
</cp:coreProperties>
</file>